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大标宋简体" w:cs="宋体"/>
          <w:b/>
          <w:color w:val="FF0000"/>
          <w:kern w:val="0"/>
          <w:sz w:val="54"/>
          <w:szCs w:val="54"/>
          <w:lang w:val="zh-CN"/>
        </w:rPr>
      </w:pPr>
      <w:r>
        <w:rPr>
          <w:rFonts w:hint="eastAsia" w:ascii="Times New Roman" w:hAnsi="Times New Roman" w:eastAsia="方正大标宋简体" w:cs="宋体"/>
          <w:b/>
          <w:color w:val="FF0000"/>
          <w:kern w:val="0"/>
          <w:sz w:val="54"/>
          <w:szCs w:val="54"/>
          <w:lang w:val="zh-CN"/>
        </w:rPr>
        <w:t>5244教育部高校辅导员培训和研修基地</w:t>
      </w:r>
    </w:p>
    <w:p>
      <w:pPr>
        <w:spacing w:beforeLines="100"/>
        <w:jc w:val="center"/>
        <w:rPr>
          <w:rFonts w:ascii="Times New Roman" w:hAnsi="Times New Roman" w:eastAsia="楷体_GB2312" w:cs="宋体"/>
          <w:b/>
          <w:color w:val="FF0000"/>
          <w:kern w:val="0"/>
          <w:sz w:val="40"/>
          <w:szCs w:val="44"/>
          <w:lang w:val="zh-CN"/>
        </w:rPr>
      </w:pPr>
      <w:r>
        <w:rPr>
          <w:rFonts w:hint="eastAsia" w:ascii="Times New Roman" w:hAnsi="Times New Roman" w:eastAsia="楷体_GB2312" w:cs="宋体"/>
          <w:b/>
          <w:color w:val="FF0000"/>
          <w:kern w:val="0"/>
          <w:sz w:val="40"/>
          <w:szCs w:val="44"/>
          <w:lang w:val="zh-CN"/>
        </w:rPr>
        <w:t>（郑州大学）</w:t>
      </w:r>
    </w:p>
    <w:p>
      <w:pPr>
        <w:spacing w:line="240" w:lineRule="exact"/>
        <w:jc w:val="center"/>
        <w:rPr>
          <w:rFonts w:ascii="Times New Roman" w:hAnsi="Times New Roman"/>
          <w:b/>
          <w:spacing w:val="100"/>
          <w:sz w:val="83"/>
        </w:rPr>
      </w:pPr>
    </w:p>
    <w:p>
      <w:pPr>
        <w:jc w:val="center"/>
        <w:rPr>
          <w:rFonts w:ascii="Times New Roman" w:hAnsi="Times New Roman"/>
          <w:b/>
        </w:rPr>
      </w:pPr>
      <w:r>
        <w:rPr>
          <w:rFonts w:ascii="Times New Roman" w:hAnsi="Times New Roman"/>
        </w:rPr>
        <w:pict>
          <v:shape id="_x0000_s1026" o:spid="_x0000_s1026" o:spt="202" type="#_x0000_t202" style="position:absolute;left:0pt;margin-left:-25.5pt;margin-top:3.7pt;height:1.4pt;width:481.9pt;mso-position-horizontal-relative:margin;z-index:251659264;mso-width-relative:page;mso-height-relative:page;" fillcolor="#FF0000" filled="t" stroked="t" coordsize="21600,21600" o:gfxdata="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lx8C9cAAAAIAQAADwAAAAAAAAABACAAAAAiAAAAZHJzL2Rvd25yZXYueG1sUEsBAhQA&#10;FAAAAAgAh07iQH85AL0sAgAAQwQAAA4AAAAAAAAAAQAgAAAAJgEAAGRycy9lMm9Eb2MueG1sUEsF&#10;BgAAAAAGAAYAWQEAAMQFAAAAAA==&#10;">
            <v:path/>
            <v:fill on="t" focussize="0,0"/>
            <v:stroke color="#FF0000" joinstyle="miter"/>
            <v:imagedata o:title=""/>
            <o:lock v:ext="edit"/>
            <v:textbox>
              <w:txbxContent>
                <w:p>
                  <w:pPr>
                    <w:jc w:val="center"/>
                  </w:pPr>
                </w:p>
              </w:txbxContent>
            </v:textbox>
          </v:shape>
        </w:pict>
      </w:r>
    </w:p>
    <w:p>
      <w:pPr>
        <w:jc w:val="center"/>
        <w:rPr>
          <w:rFonts w:ascii="黑体" w:hAnsi="黑体" w:eastAsia="黑体"/>
          <w:sz w:val="44"/>
          <w:szCs w:val="44"/>
        </w:rPr>
      </w:pPr>
      <w:r>
        <w:rPr>
          <w:rFonts w:hint="eastAsia" w:ascii="黑体" w:hAnsi="黑体" w:eastAsia="黑体"/>
          <w:sz w:val="44"/>
          <w:szCs w:val="44"/>
        </w:rPr>
        <w:t>关于举办第179期全国高校辅导员骨干培训班的通知</w:t>
      </w:r>
    </w:p>
    <w:p>
      <w:pPr>
        <w:widowControl/>
        <w:spacing w:line="520" w:lineRule="exact"/>
        <w:rPr>
          <w:rFonts w:ascii="Times New Roman" w:hAnsi="Times New Roman" w:eastAsia="仿宋_GB2312"/>
          <w:kern w:val="0"/>
          <w:sz w:val="30"/>
          <w:szCs w:val="30"/>
        </w:rPr>
      </w:pPr>
    </w:p>
    <w:p>
      <w:pPr>
        <w:widowControl/>
        <w:spacing w:line="520" w:lineRule="exact"/>
        <w:rPr>
          <w:rFonts w:ascii="仿宋" w:hAnsi="仿宋" w:eastAsia="仿宋"/>
          <w:sz w:val="30"/>
          <w:szCs w:val="30"/>
        </w:rPr>
      </w:pPr>
      <w:r>
        <w:rPr>
          <w:rFonts w:hint="eastAsia" w:ascii="仿宋" w:hAnsi="仿宋" w:eastAsia="仿宋"/>
          <w:sz w:val="30"/>
          <w:szCs w:val="30"/>
        </w:rPr>
        <w:t>各有关省、自治区、直辖市教育厅(教委)，有关部属高等学校：</w:t>
      </w:r>
    </w:p>
    <w:p>
      <w:pPr>
        <w:ind w:firstLine="600" w:firstLineChars="200"/>
        <w:rPr>
          <w:rFonts w:ascii="仿宋" w:hAnsi="仿宋" w:eastAsia="仿宋"/>
          <w:sz w:val="30"/>
          <w:szCs w:val="30"/>
        </w:rPr>
      </w:pPr>
      <w:r>
        <w:rPr>
          <w:rFonts w:hint="eastAsia" w:ascii="仿宋" w:hAnsi="仿宋" w:eastAsia="仿宋"/>
          <w:sz w:val="30"/>
          <w:szCs w:val="30"/>
        </w:rPr>
        <w:t>为贯彻实施《普通高等学校辅导员培训规划（2013-2017年）》，进一步加强高校学生思想政治教育工作队伍培养培训工作，受教育部思想政治工作司委托，定于2017年5月在河南省郑州市举办第179期全国高校辅导员骨干培训班暨辅导员网络应用能力提升专题培训班。本期培训班由教育部高校辅导员培训和研修基地（郑州大学）承办。现将有关事项通知如下：</w:t>
      </w:r>
      <w:r>
        <w:rPr>
          <w:rFonts w:hint="eastAsia" w:ascii="仿宋" w:hAnsi="仿宋" w:eastAsia="仿宋"/>
          <w:sz w:val="30"/>
          <w:szCs w:val="30"/>
        </w:rPr>
        <w:br w:type="textWrapping"/>
      </w:r>
      <w:r>
        <w:rPr>
          <w:rFonts w:hint="eastAsia" w:ascii="仿宋" w:hAnsi="仿宋" w:eastAsia="仿宋"/>
          <w:sz w:val="30"/>
          <w:szCs w:val="30"/>
        </w:rPr>
        <w:t>　　</w:t>
      </w:r>
      <w:r>
        <w:rPr>
          <w:rFonts w:hint="eastAsia" w:ascii="黑体" w:hAnsi="黑体" w:eastAsia="黑体"/>
          <w:sz w:val="30"/>
          <w:szCs w:val="30"/>
        </w:rPr>
        <w:t>一、培训时间与地点</w:t>
      </w:r>
      <w:r>
        <w:rPr>
          <w:rFonts w:hint="eastAsia" w:ascii="仿宋" w:hAnsi="仿宋" w:eastAsia="仿宋"/>
          <w:sz w:val="30"/>
          <w:szCs w:val="30"/>
        </w:rPr>
        <w:br w:type="textWrapping"/>
      </w:r>
      <w:r>
        <w:rPr>
          <w:rFonts w:hint="eastAsia" w:ascii="仿宋" w:hAnsi="仿宋" w:eastAsia="仿宋"/>
          <w:sz w:val="30"/>
          <w:szCs w:val="30"/>
        </w:rPr>
        <w:t>　　时间：2017年5月11日—14日。5月11日报到，14日结业典礼后离会。</w:t>
      </w:r>
      <w:r>
        <w:rPr>
          <w:rFonts w:hint="eastAsia" w:ascii="仿宋" w:hAnsi="仿宋" w:eastAsia="仿宋"/>
          <w:sz w:val="30"/>
          <w:szCs w:val="30"/>
        </w:rPr>
        <w:br w:type="textWrapping"/>
      </w:r>
      <w:r>
        <w:rPr>
          <w:rFonts w:hint="eastAsia" w:ascii="仿宋" w:hAnsi="仿宋" w:eastAsia="仿宋"/>
          <w:sz w:val="30"/>
          <w:szCs w:val="30"/>
        </w:rPr>
        <w:t>　　地点：郑州市正尚花园酒店（河南省郑州市高新技术开发区金梭路与牡丹路交叉口向北110米路东）。</w:t>
      </w:r>
      <w:r>
        <w:rPr>
          <w:rFonts w:hint="eastAsia" w:ascii="仿宋" w:hAnsi="仿宋" w:eastAsia="仿宋"/>
          <w:sz w:val="30"/>
          <w:szCs w:val="30"/>
        </w:rPr>
        <w:br w:type="textWrapping"/>
      </w:r>
      <w:r>
        <w:rPr>
          <w:rFonts w:hint="eastAsia" w:ascii="宋体" w:hAnsi="宋体" w:cs="宋体"/>
          <w:sz w:val="30"/>
          <w:szCs w:val="30"/>
        </w:rPr>
        <w:t>  </w:t>
      </w:r>
      <w:r>
        <w:rPr>
          <w:rFonts w:hint="eastAsia" w:ascii="黑体" w:hAnsi="黑体" w:eastAsia="黑体"/>
          <w:sz w:val="30"/>
          <w:szCs w:val="30"/>
        </w:rPr>
        <w:t>二、参加人员</w:t>
      </w:r>
      <w:r>
        <w:rPr>
          <w:rFonts w:hint="eastAsia" w:ascii="黑体" w:hAnsi="黑体" w:eastAsia="黑体"/>
          <w:sz w:val="30"/>
          <w:szCs w:val="30"/>
        </w:rPr>
        <w:br w:type="textWrapping"/>
      </w:r>
      <w:r>
        <w:rPr>
          <w:rFonts w:eastAsia="仿宋" w:cs="Calibri"/>
          <w:sz w:val="30"/>
          <w:szCs w:val="30"/>
        </w:rPr>
        <w:t>      </w:t>
      </w:r>
      <w:r>
        <w:rPr>
          <w:rFonts w:hint="eastAsia" w:ascii="仿宋" w:hAnsi="仿宋" w:eastAsia="仿宋"/>
          <w:sz w:val="30"/>
          <w:szCs w:val="30"/>
        </w:rPr>
        <w:t>各有关省（区、市）级教育工作部门和相关部属高校按分配名额（见附件1），推荐具有3年以上工作经验的高校优秀辅导员参训。</w:t>
      </w:r>
      <w:r>
        <w:rPr>
          <w:rFonts w:hint="eastAsia" w:ascii="仿宋" w:hAnsi="仿宋" w:eastAsia="仿宋"/>
          <w:sz w:val="30"/>
          <w:szCs w:val="30"/>
        </w:rPr>
        <w:br w:type="textWrapping"/>
      </w:r>
      <w:r>
        <w:rPr>
          <w:rFonts w:ascii="黑体" w:hAnsi="黑体" w:eastAsia="黑体"/>
          <w:sz w:val="30"/>
          <w:szCs w:val="30"/>
        </w:rPr>
        <w:t> </w:t>
      </w:r>
      <w:r>
        <w:rPr>
          <w:rFonts w:hint="eastAsia" w:ascii="黑体" w:hAnsi="黑体" w:eastAsia="黑体"/>
          <w:sz w:val="30"/>
          <w:szCs w:val="30"/>
        </w:rPr>
        <w:t xml:space="preserve">  三、报名事宜</w:t>
      </w:r>
      <w:r>
        <w:rPr>
          <w:rFonts w:hint="eastAsia" w:ascii="黑体" w:hAnsi="黑体" w:eastAsia="黑体"/>
          <w:sz w:val="30"/>
          <w:szCs w:val="30"/>
        </w:rPr>
        <w:br w:type="textWrapping"/>
      </w:r>
      <w:r>
        <w:rPr>
          <w:rFonts w:eastAsia="仿宋" w:cs="Calibri"/>
          <w:sz w:val="30"/>
          <w:szCs w:val="30"/>
        </w:rPr>
        <w:t>      </w:t>
      </w:r>
      <w:r>
        <w:rPr>
          <w:rFonts w:hint="eastAsia" w:ascii="仿宋" w:hAnsi="仿宋" w:eastAsia="仿宋"/>
          <w:sz w:val="30"/>
          <w:szCs w:val="30"/>
        </w:rPr>
        <w:t>1、请各相关单位根据名额分配认真组织参训学员填写第179期全国高校辅导员骨干培训班学员报名表（见附件2，可在郑州大学党委学生工作部网站http://202.196.64.198/student下载）。参加培训的学员，需于2017年5月5日17点前（周五）将报名表电子版发送至szk225@163.com。邮件标题为：XX省（区、市）XX大学某某第179期全国班报名表。逾期不报名者视为自动放弃。</w:t>
      </w:r>
      <w:r>
        <w:rPr>
          <w:rFonts w:hint="eastAsia" w:ascii="仿宋" w:hAnsi="仿宋" w:eastAsia="仿宋"/>
          <w:sz w:val="30"/>
          <w:szCs w:val="30"/>
        </w:rPr>
        <w:br w:type="textWrapping"/>
      </w:r>
      <w:r>
        <w:rPr>
          <w:rFonts w:eastAsia="仿宋" w:cs="Calibri"/>
          <w:sz w:val="30"/>
          <w:szCs w:val="30"/>
        </w:rPr>
        <w:t>      </w:t>
      </w:r>
      <w:r>
        <w:rPr>
          <w:rFonts w:hint="eastAsia" w:ascii="仿宋" w:hAnsi="仿宋" w:eastAsia="仿宋"/>
          <w:sz w:val="30"/>
          <w:szCs w:val="30"/>
        </w:rPr>
        <w:t>2、学员报到时需提交加盖公章的报名表原件一份。</w:t>
      </w:r>
    </w:p>
    <w:p>
      <w:pPr>
        <w:ind w:firstLine="600" w:firstLineChars="200"/>
        <w:rPr>
          <w:rFonts w:ascii="仿宋" w:hAnsi="仿宋" w:eastAsia="仿宋"/>
          <w:sz w:val="30"/>
          <w:szCs w:val="30"/>
        </w:rPr>
      </w:pPr>
      <w:r>
        <w:rPr>
          <w:rFonts w:hint="eastAsia" w:ascii="仿宋" w:hAnsi="仿宋" w:eastAsia="仿宋"/>
          <w:sz w:val="30"/>
          <w:szCs w:val="30"/>
        </w:rPr>
        <w:t>联系人：党敬川  王肖肖</w:t>
      </w:r>
    </w:p>
    <w:p>
      <w:pPr>
        <w:ind w:firstLine="600" w:firstLineChars="200"/>
        <w:rPr>
          <w:rFonts w:ascii="仿宋" w:hAnsi="仿宋" w:eastAsia="仿宋"/>
          <w:sz w:val="30"/>
          <w:szCs w:val="30"/>
        </w:rPr>
      </w:pPr>
      <w:r>
        <w:rPr>
          <w:rFonts w:hint="eastAsia" w:ascii="仿宋" w:hAnsi="仿宋" w:eastAsia="仿宋"/>
          <w:sz w:val="30"/>
          <w:szCs w:val="30"/>
        </w:rPr>
        <w:t xml:space="preserve">电 话：0371-67783190  13673654300  15538398938   </w:t>
      </w:r>
      <w:r>
        <w:rPr>
          <w:rFonts w:hint="eastAsia" w:ascii="仿宋" w:hAnsi="仿宋" w:eastAsia="仿宋"/>
          <w:sz w:val="30"/>
          <w:szCs w:val="30"/>
        </w:rPr>
        <w:br w:type="textWrapping"/>
      </w:r>
      <w:r>
        <w:rPr>
          <w:rFonts w:hint="eastAsia" w:ascii="仿宋" w:hAnsi="仿宋" w:eastAsia="仿宋"/>
          <w:sz w:val="30"/>
          <w:szCs w:val="30"/>
        </w:rPr>
        <w:t>  邮 箱：szk225@163.com</w:t>
      </w:r>
    </w:p>
    <w:p>
      <w:pPr>
        <w:ind w:firstLine="598"/>
        <w:rPr>
          <w:rFonts w:ascii="仿宋" w:hAnsi="仿宋" w:eastAsia="仿宋"/>
          <w:sz w:val="30"/>
          <w:szCs w:val="30"/>
        </w:rPr>
      </w:pPr>
      <w:r>
        <w:rPr>
          <w:rFonts w:hint="eastAsia" w:ascii="黑体" w:hAnsi="黑体" w:eastAsia="黑体"/>
          <w:sz w:val="30"/>
          <w:szCs w:val="30"/>
        </w:rPr>
        <w:t>四、报到事宜</w:t>
      </w:r>
      <w:r>
        <w:rPr>
          <w:rFonts w:hint="eastAsia" w:ascii="黑体" w:hAnsi="黑体" w:eastAsia="黑体"/>
          <w:sz w:val="30"/>
          <w:szCs w:val="30"/>
        </w:rPr>
        <w:br w:type="textWrapping"/>
      </w:r>
      <w:r>
        <w:rPr>
          <w:rFonts w:eastAsia="仿宋" w:cs="Calibri"/>
          <w:sz w:val="30"/>
          <w:szCs w:val="30"/>
        </w:rPr>
        <w:t>      </w:t>
      </w:r>
      <w:r>
        <w:rPr>
          <w:rFonts w:hint="eastAsia" w:ascii="仿宋" w:hAnsi="仿宋" w:eastAsia="仿宋"/>
          <w:sz w:val="30"/>
          <w:szCs w:val="30"/>
        </w:rPr>
        <w:t>1、报到时间：2017年5月11日全天。</w:t>
      </w:r>
      <w:r>
        <w:rPr>
          <w:rFonts w:hint="eastAsia" w:ascii="仿宋" w:hAnsi="仿宋" w:eastAsia="仿宋"/>
          <w:sz w:val="30"/>
          <w:szCs w:val="30"/>
        </w:rPr>
        <w:br w:type="textWrapping"/>
      </w:r>
      <w:r>
        <w:rPr>
          <w:rFonts w:eastAsia="仿宋" w:cs="Calibri"/>
          <w:sz w:val="30"/>
          <w:szCs w:val="30"/>
        </w:rPr>
        <w:t>      </w:t>
      </w:r>
      <w:r>
        <w:rPr>
          <w:rFonts w:hint="eastAsia" w:ascii="仿宋" w:hAnsi="仿宋" w:eastAsia="仿宋"/>
          <w:sz w:val="30"/>
          <w:szCs w:val="30"/>
        </w:rPr>
        <w:t>2、报到地点：郑州市正尚花园酒店（河南省郑州市高新技术开发区金梭路与牡丹路交叉口向北110米路东）。酒店前台电话：0371-66635555。</w:t>
      </w:r>
      <w:r>
        <w:rPr>
          <w:rFonts w:hint="eastAsia" w:ascii="仿宋" w:hAnsi="仿宋" w:eastAsia="仿宋"/>
          <w:sz w:val="30"/>
          <w:szCs w:val="30"/>
        </w:rPr>
        <w:br w:type="textWrapping"/>
      </w:r>
      <w:r>
        <w:rPr>
          <w:rFonts w:hint="eastAsia" w:ascii="宋体" w:hAnsi="宋体" w:cs="宋体"/>
          <w:sz w:val="30"/>
          <w:szCs w:val="30"/>
        </w:rPr>
        <w:t>  </w:t>
      </w:r>
      <w:r>
        <w:rPr>
          <w:rFonts w:hint="eastAsia" w:ascii="仿宋" w:hAnsi="仿宋" w:eastAsia="仿宋"/>
          <w:sz w:val="30"/>
          <w:szCs w:val="30"/>
        </w:rPr>
        <w:t>乘车路线</w:t>
      </w:r>
      <w:r>
        <w:rPr>
          <w:rFonts w:hint="eastAsia" w:ascii="仿宋" w:hAnsi="仿宋" w:eastAsia="仿宋"/>
          <w:sz w:val="30"/>
          <w:szCs w:val="30"/>
        </w:rPr>
        <w:br w:type="textWrapping"/>
      </w:r>
      <w:r>
        <w:rPr>
          <w:rFonts w:hint="eastAsia" w:ascii="宋体" w:hAnsi="宋体" w:cs="宋体"/>
          <w:sz w:val="30"/>
          <w:szCs w:val="30"/>
        </w:rPr>
        <w:t>  </w:t>
      </w:r>
      <w:r>
        <w:rPr>
          <w:rFonts w:hint="eastAsia" w:ascii="仿宋" w:hAnsi="仿宋" w:eastAsia="仿宋"/>
          <w:sz w:val="30"/>
          <w:szCs w:val="30"/>
        </w:rPr>
        <w:t>线路一：飞机至新郑机场，可乘机场大巴到民航大酒店门口，步行至地铁1号线燕庄站（民航大酒店东500米），然后乘坐地铁1号线（西流湖方向）,至河南工业大学站（A出口），沿莲花街向东至河南工业大学快速公交站，乘坐B35路至牡丹路站，下车往回沿莲花街走110米右转进入牡丹路走200米,到达郑州正尚花园酒店；从新郑机场乘坐出租车全程约60公里。</w:t>
      </w:r>
      <w:r>
        <w:rPr>
          <w:rFonts w:hint="eastAsia" w:ascii="仿宋" w:hAnsi="仿宋" w:eastAsia="仿宋"/>
          <w:sz w:val="30"/>
          <w:szCs w:val="30"/>
        </w:rPr>
        <w:br w:type="textWrapping"/>
      </w:r>
      <w:r>
        <w:rPr>
          <w:rFonts w:hint="eastAsia" w:ascii="宋体" w:hAnsi="宋体" w:cs="宋体"/>
          <w:sz w:val="30"/>
          <w:szCs w:val="30"/>
        </w:rPr>
        <w:t>  </w:t>
      </w:r>
      <w:r>
        <w:rPr>
          <w:rFonts w:hint="eastAsia" w:ascii="仿宋" w:hAnsi="仿宋" w:eastAsia="仿宋"/>
          <w:sz w:val="30"/>
          <w:szCs w:val="30"/>
        </w:rPr>
        <w:t>线路二：火车至郑州火车站（西广场出），可乘坐地铁1号线（西流湖方向）, 至河南工业大学站（A出口），沿莲花街向东至河南工业大学快速公交站，乘坐B35路至牡丹路站，下车往回沿莲花街走110米右转进入牡丹路走200米,到达郑州正尚花园酒店；从火车站乘坐出租车全程约17公里。</w:t>
      </w:r>
      <w:r>
        <w:rPr>
          <w:rFonts w:hint="eastAsia" w:ascii="仿宋" w:hAnsi="仿宋" w:eastAsia="仿宋"/>
          <w:sz w:val="30"/>
          <w:szCs w:val="30"/>
        </w:rPr>
        <w:br w:type="textWrapping"/>
      </w:r>
      <w:r>
        <w:rPr>
          <w:rFonts w:hint="eastAsia" w:ascii="仿宋" w:hAnsi="仿宋" w:eastAsia="仿宋"/>
          <w:sz w:val="30"/>
          <w:szCs w:val="30"/>
        </w:rPr>
        <w:t xml:space="preserve">    线路三：高铁至郑州东站，可乘坐地铁1号线（西流湖方向）, 至河南工业大学站（A出口），沿莲花街向东至河南工业大学快速公交站，乘坐B35路至牡丹路站，下车往回沿莲花街走110米右转进入牡丹路走200米,到达郑州正尚花园酒店；从郑州东站乘坐出租车全程约30公里。</w:t>
      </w:r>
      <w:r>
        <w:rPr>
          <w:rFonts w:hint="eastAsia" w:ascii="仿宋" w:hAnsi="仿宋" w:eastAsia="仿宋"/>
          <w:sz w:val="30"/>
          <w:szCs w:val="30"/>
        </w:rPr>
        <w:br w:type="textWrapping"/>
      </w:r>
      <w:r>
        <w:rPr>
          <w:rFonts w:hint="eastAsia" w:ascii="仿宋" w:hAnsi="仿宋" w:eastAsia="仿宋"/>
          <w:sz w:val="30"/>
          <w:szCs w:val="30"/>
        </w:rPr>
        <w:t xml:space="preserve">    培训班不安排接站，请学员自行前往。</w:t>
      </w:r>
      <w:r>
        <w:rPr>
          <w:rFonts w:hint="eastAsia" w:ascii="仿宋" w:hAnsi="仿宋" w:eastAsia="仿宋"/>
          <w:sz w:val="30"/>
          <w:szCs w:val="30"/>
        </w:rPr>
        <w:br w:type="textWrapping"/>
      </w:r>
      <w:r>
        <w:rPr>
          <w:rFonts w:hint="eastAsia" w:ascii="宋体" w:hAnsi="宋体" w:cs="宋体"/>
          <w:sz w:val="30"/>
          <w:szCs w:val="30"/>
        </w:rPr>
        <w:t>  </w:t>
      </w:r>
      <w:r>
        <w:rPr>
          <w:rFonts w:hint="eastAsia" w:ascii="仿宋" w:hAnsi="仿宋" w:eastAsia="仿宋"/>
          <w:sz w:val="30"/>
          <w:szCs w:val="30"/>
        </w:rPr>
        <w:t>3、学员报到时请提交本人2寸免冠彩色照片1张，办理结业证书。</w:t>
      </w:r>
    </w:p>
    <w:p>
      <w:pPr>
        <w:ind w:firstLine="585"/>
        <w:rPr>
          <w:rFonts w:eastAsia="仿宋" w:cs="Calibri"/>
          <w:sz w:val="30"/>
          <w:szCs w:val="30"/>
        </w:rPr>
      </w:pPr>
      <w:r>
        <w:rPr>
          <w:rFonts w:hint="eastAsia" w:ascii="黑体" w:hAnsi="黑体" w:eastAsia="黑体"/>
          <w:sz w:val="30"/>
          <w:szCs w:val="30"/>
        </w:rPr>
        <w:t>五、费用</w:t>
      </w:r>
      <w:r>
        <w:rPr>
          <w:rFonts w:hint="eastAsia" w:ascii="黑体" w:hAnsi="黑体" w:eastAsia="黑体"/>
          <w:sz w:val="30"/>
          <w:szCs w:val="30"/>
        </w:rPr>
        <w:br w:type="textWrapping"/>
      </w:r>
      <w:r>
        <w:rPr>
          <w:rFonts w:eastAsia="仿宋" w:cs="Calibri"/>
          <w:sz w:val="30"/>
          <w:szCs w:val="30"/>
        </w:rPr>
        <w:t xml:space="preserve">      </w:t>
      </w:r>
      <w:r>
        <w:rPr>
          <w:rFonts w:hint="eastAsia" w:ascii="仿宋" w:hAnsi="仿宋" w:eastAsia="仿宋"/>
          <w:sz w:val="30"/>
          <w:szCs w:val="30"/>
        </w:rPr>
        <w:t>参加培训人员往返交通费由所在单位承担，其他费用由教育部承担。</w:t>
      </w:r>
      <w:r>
        <w:rPr>
          <w:rFonts w:eastAsia="仿宋" w:cs="Calibri"/>
          <w:sz w:val="30"/>
          <w:szCs w:val="30"/>
        </w:rPr>
        <w:t>     </w:t>
      </w:r>
    </w:p>
    <w:p>
      <w:pPr>
        <w:ind w:firstLine="585"/>
        <w:rPr>
          <w:rFonts w:eastAsia="仿宋" w:cs="Calibri"/>
          <w:sz w:val="30"/>
          <w:szCs w:val="30"/>
        </w:rPr>
      </w:pPr>
      <w:r>
        <w:rPr>
          <w:rFonts w:hint="eastAsia" w:ascii="仿宋" w:hAnsi="仿宋" w:eastAsia="仿宋"/>
          <w:sz w:val="30"/>
          <w:szCs w:val="30"/>
        </w:rPr>
        <w:t>附件1：第179期全国高校辅导员骨干培训班名额分配表</w:t>
      </w:r>
      <w:r>
        <w:rPr>
          <w:rFonts w:hint="eastAsia" w:ascii="仿宋" w:hAnsi="仿宋" w:eastAsia="仿宋"/>
          <w:sz w:val="30"/>
          <w:szCs w:val="30"/>
        </w:rPr>
        <w:br w:type="textWrapping"/>
      </w:r>
      <w:r>
        <w:rPr>
          <w:rFonts w:eastAsia="仿宋" w:cs="Calibri"/>
          <w:sz w:val="30"/>
          <w:szCs w:val="30"/>
        </w:rPr>
        <w:t xml:space="preserve">      </w:t>
      </w:r>
      <w:r>
        <w:rPr>
          <w:rFonts w:hint="eastAsia" w:ascii="仿宋" w:hAnsi="仿宋" w:eastAsia="仿宋"/>
          <w:sz w:val="30"/>
          <w:szCs w:val="30"/>
        </w:rPr>
        <w:t>附件2：第179期全国高校辅导员骨干培训班学员报名表</w:t>
      </w:r>
      <w:r>
        <w:rPr>
          <w:rFonts w:hint="eastAsia" w:ascii="仿宋" w:hAnsi="仿宋" w:eastAsia="仿宋"/>
          <w:sz w:val="30"/>
          <w:szCs w:val="30"/>
        </w:rPr>
        <w:br w:type="textWrapping"/>
      </w:r>
      <w:r>
        <w:rPr>
          <w:rFonts w:eastAsia="仿宋" w:cs="Calibri"/>
          <w:sz w:val="30"/>
          <w:szCs w:val="30"/>
        </w:rPr>
        <w:t>             </w:t>
      </w:r>
      <w:r>
        <w:rPr>
          <w:rFonts w:hint="eastAsia" w:eastAsia="仿宋" w:cs="Calibri"/>
          <w:sz w:val="30"/>
          <w:szCs w:val="30"/>
        </w:rPr>
        <w:t xml:space="preserve"> </w:t>
      </w:r>
      <w:r>
        <w:rPr>
          <w:rFonts w:eastAsia="仿宋" w:cs="Calibri"/>
          <w:sz w:val="30"/>
          <w:szCs w:val="30"/>
        </w:rPr>
        <w:t>         </w:t>
      </w:r>
    </w:p>
    <w:p>
      <w:pPr>
        <w:ind w:firstLine="585"/>
        <w:rPr>
          <w:rFonts w:eastAsia="仿宋" w:cs="Calibri"/>
          <w:sz w:val="30"/>
          <w:szCs w:val="30"/>
        </w:rPr>
      </w:pPr>
    </w:p>
    <w:p>
      <w:pPr>
        <w:ind w:firstLine="1500" w:firstLineChars="500"/>
        <w:rPr>
          <w:rFonts w:ascii="方正小标宋简体" w:hAnsi="宋体" w:eastAsia="方正小标宋简体"/>
          <w:bCs/>
          <w:kern w:val="0"/>
          <w:sz w:val="32"/>
          <w:szCs w:val="32"/>
          <w:lang w:val="zh-CN"/>
        </w:rPr>
      </w:pPr>
      <w:r>
        <w:rPr>
          <w:rFonts w:eastAsia="仿宋" w:cs="Calibri"/>
          <w:sz w:val="30"/>
          <w:szCs w:val="30"/>
        </w:rPr>
        <w:t>        </w:t>
      </w:r>
      <w:r>
        <w:rPr>
          <w:rFonts w:hint="eastAsia" w:ascii="仿宋" w:hAnsi="仿宋" w:eastAsia="仿宋"/>
          <w:sz w:val="30"/>
          <w:szCs w:val="30"/>
        </w:rPr>
        <w:t>教育部高校辅导员培训和研修基地（郑州大学）</w:t>
      </w:r>
      <w:r>
        <w:rPr>
          <w:rFonts w:eastAsia="仿宋" w:cs="Calibri"/>
          <w:sz w:val="30"/>
          <w:szCs w:val="30"/>
        </w:rPr>
        <w:t> </w:t>
      </w:r>
      <w:r>
        <w:rPr>
          <w:rFonts w:hint="eastAsia" w:ascii="仿宋" w:hAnsi="仿宋" w:eastAsia="仿宋"/>
          <w:sz w:val="30"/>
          <w:szCs w:val="30"/>
        </w:rPr>
        <w:br w:type="textWrapping"/>
      </w:r>
      <w:r>
        <w:rPr>
          <w:rFonts w:eastAsia="仿宋" w:cs="Calibri"/>
          <w:sz w:val="30"/>
          <w:szCs w:val="30"/>
        </w:rPr>
        <w:t>                                                        </w:t>
      </w:r>
      <w:r>
        <w:rPr>
          <w:rFonts w:hint="eastAsia" w:ascii="仿宋" w:hAnsi="仿宋" w:eastAsia="仿宋"/>
          <w:sz w:val="30"/>
          <w:szCs w:val="30"/>
        </w:rPr>
        <w:t>2017年4月20日</w:t>
      </w:r>
    </w:p>
    <w:p>
      <w:pPr>
        <w:pStyle w:val="5"/>
        <w:adjustRightInd w:val="0"/>
        <w:snapToGrid w:val="0"/>
        <w:spacing w:line="540" w:lineRule="exact"/>
        <w:ind w:firstLine="0" w:firstLineChars="0"/>
        <w:rPr>
          <w:rFonts w:ascii="黑体" w:hAnsi="黑体" w:eastAsia="黑体"/>
          <w:kern w:val="2"/>
          <w:szCs w:val="30"/>
          <w:lang w:val="en-US"/>
        </w:rPr>
      </w:pPr>
      <w:r>
        <w:rPr>
          <w:rFonts w:hint="eastAsia" w:ascii="黑体" w:hAnsi="黑体" w:eastAsia="黑体"/>
          <w:kern w:val="2"/>
          <w:szCs w:val="30"/>
          <w:lang w:val="en-US"/>
        </w:rPr>
        <w:t>附件1</w:t>
      </w:r>
    </w:p>
    <w:p>
      <w:pPr>
        <w:pStyle w:val="5"/>
        <w:adjustRightInd w:val="0"/>
        <w:snapToGrid w:val="0"/>
        <w:spacing w:line="540" w:lineRule="exact"/>
        <w:ind w:firstLine="0" w:firstLineChars="0"/>
        <w:rPr>
          <w:rFonts w:ascii="方正小标宋简体" w:eastAsia="方正小标宋简体"/>
          <w:bCs/>
          <w:sz w:val="32"/>
          <w:szCs w:val="32"/>
        </w:rPr>
      </w:pPr>
    </w:p>
    <w:p>
      <w:pPr>
        <w:pStyle w:val="5"/>
        <w:adjustRightInd w:val="0"/>
        <w:snapToGrid w:val="0"/>
        <w:spacing w:line="540" w:lineRule="exact"/>
        <w:ind w:firstLine="0" w:firstLineChars="0"/>
        <w:jc w:val="center"/>
        <w:rPr>
          <w:rFonts w:ascii="方正小标宋简体" w:eastAsia="方正小标宋简体"/>
          <w:bCs/>
          <w:sz w:val="32"/>
          <w:szCs w:val="32"/>
        </w:rPr>
      </w:pPr>
      <w:r>
        <w:rPr>
          <w:rFonts w:hint="eastAsia" w:ascii="方正小标宋简体" w:eastAsia="方正小标宋简体"/>
          <w:bCs/>
          <w:sz w:val="32"/>
          <w:szCs w:val="32"/>
        </w:rPr>
        <w:t>“辅导员网络应用能力提升”专题</w:t>
      </w:r>
      <w:r>
        <w:rPr>
          <w:rFonts w:ascii="方正小标宋简体" w:eastAsia="方正小标宋简体"/>
          <w:bCs/>
          <w:sz w:val="32"/>
          <w:szCs w:val="32"/>
        </w:rPr>
        <w:t>培训班名额分配表</w:t>
      </w:r>
    </w:p>
    <w:p>
      <w:pPr>
        <w:pStyle w:val="5"/>
        <w:adjustRightInd w:val="0"/>
        <w:snapToGrid w:val="0"/>
        <w:spacing w:line="540" w:lineRule="exact"/>
        <w:ind w:firstLine="0" w:firstLineChars="0"/>
        <w:jc w:val="center"/>
        <w:rPr>
          <w:rFonts w:ascii="Times New Roman" w:hAnsi="Times New Roman"/>
          <w:sz w:val="28"/>
          <w:szCs w:val="30"/>
        </w:rPr>
      </w:pPr>
      <w:r>
        <w:rPr>
          <w:rFonts w:ascii="Times New Roman" w:hAnsi="Times New Roman"/>
          <w:sz w:val="28"/>
          <w:szCs w:val="30"/>
        </w:rPr>
        <w:t>（</w:t>
      </w:r>
      <w:r>
        <w:rPr>
          <w:rFonts w:hint="eastAsia" w:cs="宋体"/>
          <w:szCs w:val="30"/>
        </w:rPr>
        <w:t xml:space="preserve">郑州大学基地  </w:t>
      </w:r>
      <w:r>
        <w:rPr>
          <w:rFonts w:hint="eastAsia" w:ascii="Times New Roman" w:hAnsi="Times New Roman"/>
          <w:szCs w:val="30"/>
        </w:rPr>
        <w:t>80</w:t>
      </w:r>
      <w:r>
        <w:rPr>
          <w:rFonts w:ascii="Times New Roman" w:hAnsi="Times New Roman"/>
          <w:szCs w:val="30"/>
        </w:rPr>
        <w:t>人</w:t>
      </w:r>
      <w:r>
        <w:rPr>
          <w:rFonts w:ascii="Times New Roman" w:hAnsi="Times New Roman"/>
          <w:sz w:val="28"/>
          <w:szCs w:val="30"/>
        </w:rPr>
        <w:t>）</w:t>
      </w:r>
    </w:p>
    <w:p>
      <w:pPr>
        <w:pStyle w:val="5"/>
        <w:adjustRightInd w:val="0"/>
        <w:snapToGrid w:val="0"/>
        <w:spacing w:line="580" w:lineRule="exact"/>
        <w:ind w:firstLine="0" w:firstLineChars="0"/>
        <w:jc w:val="center"/>
        <w:rPr>
          <w:rFonts w:cs="宋体"/>
          <w:szCs w:val="30"/>
          <w:highlight w:val="yellow"/>
        </w:rPr>
      </w:pPr>
    </w:p>
    <w:p>
      <w:pPr>
        <w:spacing w:line="580" w:lineRule="exact"/>
        <w:ind w:left="1256" w:hanging="1256"/>
        <w:jc w:val="left"/>
        <w:rPr>
          <w:rFonts w:ascii="Times New Roman" w:hAnsi="Times New Roman" w:eastAsia="仿宋_GB2312"/>
          <w:b/>
          <w:kern w:val="0"/>
          <w:sz w:val="28"/>
          <w:szCs w:val="28"/>
        </w:rPr>
      </w:pPr>
      <w:r>
        <w:rPr>
          <w:rFonts w:hint="eastAsia" w:ascii="Times New Roman" w:hAnsi="Times New Roman" w:eastAsia="仿宋_GB2312"/>
          <w:b/>
          <w:kern w:val="0"/>
          <w:sz w:val="28"/>
          <w:szCs w:val="28"/>
        </w:rPr>
        <w:t>部属高校名额分配（每所高校1个名额）：</w:t>
      </w:r>
    </w:p>
    <w:p>
      <w:pPr>
        <w:rPr>
          <w:rFonts w:ascii="仿宋_GB2312" w:hAnsi="宋体" w:eastAsia="仿宋_GB2312" w:cs="宋体"/>
          <w:kern w:val="0"/>
          <w:sz w:val="30"/>
          <w:szCs w:val="30"/>
        </w:rPr>
      </w:pPr>
      <w:r>
        <w:rPr>
          <w:rFonts w:hint="eastAsia" w:ascii="仿宋_GB2312" w:hAnsi="宋体" w:eastAsia="仿宋_GB2312" w:cs="宋体"/>
          <w:kern w:val="0"/>
          <w:sz w:val="28"/>
          <w:szCs w:val="28"/>
        </w:rPr>
        <w:t>北京大学、北京师范大学、北京理工大学、北京外国语大学、北京交通大学、中国矿业大学（北京）、中国传媒大学、对外经济贸易大学、南开大学、东北大学、吉林大学、东北林业大学、上海交通大学、东华大学、上海财经大学、东南大学、河海大学、中国药科大学、中国科学技术大学、浙江大学、山东大学、中国石油大学（华东）、华中科技大学、武汉理工大学、华中农业大学、湖南大学、中南大学、中山大学、重庆大学、四川大学、西南交通大学、西安交通大学、西北农林科技大学、陕西师范大学、兰州大学</w:t>
      </w:r>
    </w:p>
    <w:p>
      <w:pPr>
        <w:spacing w:line="580" w:lineRule="exact"/>
        <w:jc w:val="left"/>
        <w:rPr>
          <w:rFonts w:ascii="仿宋_GB2312" w:hAnsi="宋体" w:eastAsia="仿宋_GB2312" w:cs="宋体"/>
          <w:kern w:val="0"/>
          <w:sz w:val="28"/>
          <w:szCs w:val="28"/>
        </w:rPr>
      </w:pPr>
    </w:p>
    <w:p>
      <w:pPr>
        <w:spacing w:line="580" w:lineRule="exact"/>
        <w:jc w:val="left"/>
        <w:rPr>
          <w:rFonts w:ascii="仿宋_GB2312" w:hAnsi="宋体" w:eastAsia="仿宋_GB2312" w:cs="宋体"/>
          <w:kern w:val="0"/>
          <w:sz w:val="28"/>
          <w:szCs w:val="28"/>
        </w:rPr>
      </w:pPr>
    </w:p>
    <w:p>
      <w:pPr>
        <w:spacing w:line="580" w:lineRule="exact"/>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省属高校名额分配：</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20"/>
        <w:gridCol w:w="1421"/>
        <w:gridCol w:w="1420"/>
        <w:gridCol w:w="142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vAlign w:val="center"/>
          </w:tcPr>
          <w:p>
            <w:pPr>
              <w:spacing w:line="560" w:lineRule="exact"/>
              <w:jc w:val="center"/>
              <w:rPr>
                <w:rFonts w:ascii="Times New Roman" w:hAnsi="Times New Roman" w:eastAsia="仿宋_GB2312"/>
                <w:b/>
                <w:kern w:val="0"/>
                <w:sz w:val="30"/>
                <w:szCs w:val="30"/>
              </w:rPr>
            </w:pPr>
            <w:r>
              <w:rPr>
                <w:rFonts w:ascii="Times New Roman" w:hAnsi="Times New Roman" w:eastAsia="仿宋_GB2312"/>
                <w:b/>
                <w:kern w:val="0"/>
                <w:sz w:val="30"/>
                <w:szCs w:val="30"/>
              </w:rPr>
              <w:t>省  份</w:t>
            </w:r>
          </w:p>
        </w:tc>
        <w:tc>
          <w:tcPr>
            <w:tcW w:w="1420" w:type="dxa"/>
            <w:vAlign w:val="center"/>
          </w:tcPr>
          <w:p>
            <w:pPr>
              <w:spacing w:line="560" w:lineRule="exact"/>
              <w:jc w:val="center"/>
              <w:rPr>
                <w:rFonts w:ascii="Times New Roman" w:hAnsi="Times New Roman" w:eastAsia="仿宋_GB2312"/>
                <w:b/>
                <w:kern w:val="0"/>
                <w:sz w:val="30"/>
                <w:szCs w:val="30"/>
              </w:rPr>
            </w:pPr>
            <w:r>
              <w:rPr>
                <w:rFonts w:ascii="Times New Roman" w:hAnsi="Times New Roman" w:eastAsia="仿宋_GB2312"/>
                <w:b/>
                <w:kern w:val="0"/>
                <w:sz w:val="30"/>
                <w:szCs w:val="30"/>
              </w:rPr>
              <w:t>名  额</w:t>
            </w:r>
          </w:p>
        </w:tc>
        <w:tc>
          <w:tcPr>
            <w:tcW w:w="1421" w:type="dxa"/>
            <w:vAlign w:val="center"/>
          </w:tcPr>
          <w:p>
            <w:pPr>
              <w:spacing w:line="560" w:lineRule="exact"/>
              <w:jc w:val="center"/>
              <w:rPr>
                <w:rFonts w:ascii="Times New Roman" w:hAnsi="Times New Roman" w:eastAsia="仿宋_GB2312"/>
                <w:b/>
                <w:kern w:val="0"/>
                <w:sz w:val="30"/>
                <w:szCs w:val="30"/>
              </w:rPr>
            </w:pPr>
            <w:r>
              <w:rPr>
                <w:rFonts w:ascii="Times New Roman" w:hAnsi="Times New Roman" w:eastAsia="仿宋_GB2312"/>
                <w:b/>
                <w:kern w:val="0"/>
                <w:sz w:val="30"/>
                <w:szCs w:val="30"/>
              </w:rPr>
              <w:t>省  份</w:t>
            </w:r>
          </w:p>
        </w:tc>
        <w:tc>
          <w:tcPr>
            <w:tcW w:w="1420" w:type="dxa"/>
            <w:vAlign w:val="center"/>
          </w:tcPr>
          <w:p>
            <w:pPr>
              <w:spacing w:line="560" w:lineRule="exact"/>
              <w:jc w:val="center"/>
              <w:rPr>
                <w:rFonts w:ascii="Times New Roman" w:hAnsi="Times New Roman" w:eastAsia="仿宋_GB2312"/>
                <w:b/>
                <w:kern w:val="0"/>
                <w:sz w:val="30"/>
                <w:szCs w:val="30"/>
              </w:rPr>
            </w:pPr>
            <w:r>
              <w:rPr>
                <w:rFonts w:ascii="Times New Roman" w:hAnsi="Times New Roman" w:eastAsia="仿宋_GB2312"/>
                <w:b/>
                <w:kern w:val="0"/>
                <w:sz w:val="30"/>
                <w:szCs w:val="30"/>
              </w:rPr>
              <w:t>名 额</w:t>
            </w:r>
          </w:p>
        </w:tc>
        <w:tc>
          <w:tcPr>
            <w:tcW w:w="1420" w:type="dxa"/>
            <w:vAlign w:val="center"/>
          </w:tcPr>
          <w:p>
            <w:pPr>
              <w:spacing w:line="560" w:lineRule="exact"/>
              <w:jc w:val="center"/>
              <w:rPr>
                <w:rFonts w:ascii="Times New Roman" w:hAnsi="Times New Roman" w:eastAsia="仿宋_GB2312"/>
                <w:b/>
                <w:kern w:val="0"/>
                <w:sz w:val="30"/>
                <w:szCs w:val="30"/>
              </w:rPr>
            </w:pPr>
            <w:r>
              <w:rPr>
                <w:rFonts w:ascii="Times New Roman" w:hAnsi="Times New Roman" w:eastAsia="仿宋_GB2312"/>
                <w:b/>
                <w:kern w:val="0"/>
                <w:sz w:val="30"/>
                <w:szCs w:val="30"/>
              </w:rPr>
              <w:t>省  份</w:t>
            </w:r>
          </w:p>
        </w:tc>
        <w:tc>
          <w:tcPr>
            <w:tcW w:w="1422" w:type="dxa"/>
            <w:vAlign w:val="center"/>
          </w:tcPr>
          <w:p>
            <w:pPr>
              <w:spacing w:line="560" w:lineRule="exact"/>
              <w:jc w:val="center"/>
              <w:rPr>
                <w:rFonts w:ascii="Times New Roman" w:hAnsi="Times New Roman" w:eastAsia="仿宋_GB2312"/>
                <w:b/>
                <w:kern w:val="0"/>
                <w:sz w:val="30"/>
                <w:szCs w:val="30"/>
              </w:rPr>
            </w:pPr>
            <w:r>
              <w:rPr>
                <w:rFonts w:ascii="Times New Roman" w:hAnsi="Times New Roman" w:eastAsia="仿宋_GB2312"/>
                <w:b/>
                <w:kern w:val="0"/>
                <w:sz w:val="30"/>
                <w:szCs w:val="30"/>
              </w:rPr>
              <w:t>名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河北</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c>
          <w:tcPr>
            <w:tcW w:w="14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福建</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陕西</w:t>
            </w:r>
          </w:p>
        </w:tc>
        <w:tc>
          <w:tcPr>
            <w:tcW w:w="142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内蒙古</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c>
          <w:tcPr>
            <w:tcW w:w="14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江西</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甘肃</w:t>
            </w:r>
          </w:p>
        </w:tc>
        <w:tc>
          <w:tcPr>
            <w:tcW w:w="142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黑龙江</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c>
          <w:tcPr>
            <w:tcW w:w="14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河南</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新疆</w:t>
            </w:r>
          </w:p>
        </w:tc>
        <w:tc>
          <w:tcPr>
            <w:tcW w:w="142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江苏</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c>
          <w:tcPr>
            <w:tcW w:w="14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hint="eastAsia" w:ascii="Times New Roman" w:hAnsi="Times New Roman" w:eastAsia="仿宋_GB2312"/>
                <w:kern w:val="0"/>
                <w:sz w:val="30"/>
                <w:szCs w:val="30"/>
              </w:rPr>
              <w:t>广东</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r>
              <w:rPr>
                <w:rFonts w:ascii="Times New Roman" w:hAnsi="Times New Roman" w:eastAsia="仿宋_GB2312"/>
                <w:kern w:val="0"/>
                <w:sz w:val="30"/>
                <w:szCs w:val="30"/>
              </w:rPr>
              <w:t>4</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kern w:val="0"/>
                <w:sz w:val="30"/>
                <w:szCs w:val="30"/>
              </w:rPr>
            </w:pPr>
          </w:p>
        </w:tc>
      </w:tr>
    </w:tbl>
    <w:p>
      <w:pPr>
        <w:rPr>
          <w:b/>
        </w:rPr>
      </w:pPr>
      <w:bookmarkStart w:id="0" w:name="_GoBack"/>
    </w:p>
    <w:bookmarkEnd w:id="0"/>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D0BDB"/>
    <w:rsid w:val="00086823"/>
    <w:rsid w:val="00090B76"/>
    <w:rsid w:val="00115238"/>
    <w:rsid w:val="001420D5"/>
    <w:rsid w:val="00145FC8"/>
    <w:rsid w:val="002018F3"/>
    <w:rsid w:val="00224A48"/>
    <w:rsid w:val="0024238D"/>
    <w:rsid w:val="00294A81"/>
    <w:rsid w:val="002B429E"/>
    <w:rsid w:val="002C7DC7"/>
    <w:rsid w:val="002E0EB8"/>
    <w:rsid w:val="002E308A"/>
    <w:rsid w:val="002F0459"/>
    <w:rsid w:val="003175E4"/>
    <w:rsid w:val="00360A61"/>
    <w:rsid w:val="00366EE8"/>
    <w:rsid w:val="003725E2"/>
    <w:rsid w:val="00395932"/>
    <w:rsid w:val="003C2F52"/>
    <w:rsid w:val="00407327"/>
    <w:rsid w:val="00477C29"/>
    <w:rsid w:val="004B4A95"/>
    <w:rsid w:val="005039C2"/>
    <w:rsid w:val="005049A2"/>
    <w:rsid w:val="005622FB"/>
    <w:rsid w:val="005849FA"/>
    <w:rsid w:val="005A41EE"/>
    <w:rsid w:val="005A5264"/>
    <w:rsid w:val="005B1597"/>
    <w:rsid w:val="005E256C"/>
    <w:rsid w:val="00626608"/>
    <w:rsid w:val="006354B5"/>
    <w:rsid w:val="0063726E"/>
    <w:rsid w:val="0066669A"/>
    <w:rsid w:val="006860CB"/>
    <w:rsid w:val="006D0C7C"/>
    <w:rsid w:val="00711582"/>
    <w:rsid w:val="00733035"/>
    <w:rsid w:val="007B0FE5"/>
    <w:rsid w:val="007E5D63"/>
    <w:rsid w:val="007F1767"/>
    <w:rsid w:val="00830CF7"/>
    <w:rsid w:val="008471F6"/>
    <w:rsid w:val="008617AE"/>
    <w:rsid w:val="00876057"/>
    <w:rsid w:val="008D4024"/>
    <w:rsid w:val="00943EF6"/>
    <w:rsid w:val="00966E6B"/>
    <w:rsid w:val="00976B8D"/>
    <w:rsid w:val="009E74E1"/>
    <w:rsid w:val="00A77B1F"/>
    <w:rsid w:val="00AF3F4C"/>
    <w:rsid w:val="00B2080F"/>
    <w:rsid w:val="00B76AEC"/>
    <w:rsid w:val="00BA13D9"/>
    <w:rsid w:val="00BA243D"/>
    <w:rsid w:val="00BD243C"/>
    <w:rsid w:val="00C01F63"/>
    <w:rsid w:val="00C072D6"/>
    <w:rsid w:val="00D45D95"/>
    <w:rsid w:val="00D72A1B"/>
    <w:rsid w:val="00D833F4"/>
    <w:rsid w:val="00D9058D"/>
    <w:rsid w:val="00DF3F93"/>
    <w:rsid w:val="00E672DA"/>
    <w:rsid w:val="00EA0D68"/>
    <w:rsid w:val="00ED0BDB"/>
    <w:rsid w:val="00ED47F6"/>
    <w:rsid w:val="00F44F37"/>
    <w:rsid w:val="00F61705"/>
    <w:rsid w:val="00F72F6F"/>
    <w:rsid w:val="00FE0247"/>
    <w:rsid w:val="00FE64C1"/>
    <w:rsid w:val="00FF6376"/>
    <w:rsid w:val="012A51DB"/>
    <w:rsid w:val="03610214"/>
    <w:rsid w:val="039D089A"/>
    <w:rsid w:val="043C370F"/>
    <w:rsid w:val="071B4E47"/>
    <w:rsid w:val="087E488B"/>
    <w:rsid w:val="0A9065D3"/>
    <w:rsid w:val="0ADA46BE"/>
    <w:rsid w:val="0CEB2BFE"/>
    <w:rsid w:val="0DA2412C"/>
    <w:rsid w:val="1141605C"/>
    <w:rsid w:val="1A074F12"/>
    <w:rsid w:val="1ABD3DF9"/>
    <w:rsid w:val="1C8C267E"/>
    <w:rsid w:val="1D6878A3"/>
    <w:rsid w:val="21092E2D"/>
    <w:rsid w:val="216758FE"/>
    <w:rsid w:val="223F3992"/>
    <w:rsid w:val="248A68A9"/>
    <w:rsid w:val="259349A9"/>
    <w:rsid w:val="27E65109"/>
    <w:rsid w:val="2C0F6D94"/>
    <w:rsid w:val="2C4915D4"/>
    <w:rsid w:val="30106EE8"/>
    <w:rsid w:val="34013734"/>
    <w:rsid w:val="3485482A"/>
    <w:rsid w:val="35122F88"/>
    <w:rsid w:val="36804105"/>
    <w:rsid w:val="394322A1"/>
    <w:rsid w:val="3ACB1D3A"/>
    <w:rsid w:val="3FCD603C"/>
    <w:rsid w:val="40515A87"/>
    <w:rsid w:val="41C46A74"/>
    <w:rsid w:val="43282B87"/>
    <w:rsid w:val="433610FE"/>
    <w:rsid w:val="44ED5CE7"/>
    <w:rsid w:val="47D4511E"/>
    <w:rsid w:val="48E011B3"/>
    <w:rsid w:val="4A272FF9"/>
    <w:rsid w:val="4B813125"/>
    <w:rsid w:val="4C683A21"/>
    <w:rsid w:val="4CAA6014"/>
    <w:rsid w:val="50550836"/>
    <w:rsid w:val="517B207A"/>
    <w:rsid w:val="54C57857"/>
    <w:rsid w:val="55B327A9"/>
    <w:rsid w:val="58A90857"/>
    <w:rsid w:val="5B571BBF"/>
    <w:rsid w:val="5C4C032C"/>
    <w:rsid w:val="5CA94CE2"/>
    <w:rsid w:val="5D185EE6"/>
    <w:rsid w:val="5F722B5E"/>
    <w:rsid w:val="63B700E3"/>
    <w:rsid w:val="64EA694D"/>
    <w:rsid w:val="653C0127"/>
    <w:rsid w:val="656272DE"/>
    <w:rsid w:val="666C60D2"/>
    <w:rsid w:val="6A0274EA"/>
    <w:rsid w:val="6C2D6A0E"/>
    <w:rsid w:val="6E8B3F5C"/>
    <w:rsid w:val="703D3AB8"/>
    <w:rsid w:val="74932C50"/>
    <w:rsid w:val="749D43A8"/>
    <w:rsid w:val="74E874D8"/>
    <w:rsid w:val="763110EA"/>
    <w:rsid w:val="76367EC1"/>
    <w:rsid w:val="7980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rFonts w:eastAsia="黑体" w:asciiTheme="minorHAnsi" w:hAnsiTheme="minorHAnsi" w:cstheme="minorBidi"/>
      <w:bCs/>
      <w:kern w:val="44"/>
      <w:sz w:val="32"/>
      <w:szCs w:val="44"/>
    </w:rPr>
  </w:style>
  <w:style w:type="paragraph" w:styleId="3">
    <w:name w:val="heading 2"/>
    <w:basedOn w:val="1"/>
    <w:next w:val="1"/>
    <w:link w:val="15"/>
    <w:unhideWhenUsed/>
    <w:qFormat/>
    <w:uiPriority w:val="9"/>
    <w:pPr>
      <w:keepNext/>
      <w:keepLines/>
      <w:spacing w:before="260" w:after="260" w:line="416" w:lineRule="auto"/>
      <w:outlineLvl w:val="1"/>
    </w:pPr>
    <w:rPr>
      <w:rFonts w:eastAsia="楷体" w:asciiTheme="majorHAnsi" w:hAnsiTheme="majorHAnsi" w:cstheme="majorBidi"/>
      <w:b/>
      <w:bCs/>
      <w:sz w:val="32"/>
      <w:szCs w:val="32"/>
    </w:rPr>
  </w:style>
  <w:style w:type="paragraph" w:styleId="4">
    <w:name w:val="heading 3"/>
    <w:basedOn w:val="1"/>
    <w:next w:val="1"/>
    <w:link w:val="16"/>
    <w:unhideWhenUsed/>
    <w:qFormat/>
    <w:uiPriority w:val="9"/>
    <w:pPr>
      <w:keepNext/>
      <w:keepLines/>
      <w:ind w:firstLine="200" w:firstLineChars="200"/>
      <w:outlineLvl w:val="2"/>
    </w:pPr>
    <w:rPr>
      <w:rFonts w:ascii="楷体" w:eastAsia="楷体" w:hAnsiTheme="minorHAnsi" w:cstheme="minorBidi"/>
      <w:bCs/>
      <w:sz w:val="32"/>
      <w:szCs w:val="32"/>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Indent"/>
    <w:basedOn w:val="1"/>
    <w:link w:val="17"/>
    <w:qFormat/>
    <w:uiPriority w:val="0"/>
    <w:pPr>
      <w:spacing w:line="560" w:lineRule="exact"/>
      <w:ind w:firstLine="600" w:firstLineChars="200"/>
    </w:pPr>
    <w:rPr>
      <w:rFonts w:ascii="仿宋_GB2312" w:hAnsi="宋体" w:eastAsia="仿宋_GB2312"/>
      <w:kern w:val="0"/>
      <w:sz w:val="30"/>
      <w:szCs w:val="24"/>
      <w:lang w:val="zh-CN"/>
    </w:rPr>
  </w:style>
  <w:style w:type="paragraph" w:styleId="6">
    <w:name w:val="Balloon Text"/>
    <w:basedOn w:val="1"/>
    <w:link w:val="20"/>
    <w:semiHidden/>
    <w:unhideWhenUsed/>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Autospacing="1" w:afterAutospacing="1"/>
      <w:jc w:val="left"/>
    </w:pPr>
    <w:rPr>
      <w:kern w:val="0"/>
      <w:sz w:val="24"/>
    </w:rPr>
  </w:style>
  <w:style w:type="character" w:styleId="11">
    <w:name w:val="page number"/>
    <w:basedOn w:val="10"/>
    <w:unhideWhenUsed/>
    <w:qFormat/>
    <w:uiPriority w:val="99"/>
  </w:style>
  <w:style w:type="character" w:styleId="12">
    <w:name w:val="Hyperlink"/>
    <w:basedOn w:val="10"/>
    <w:unhideWhenUsed/>
    <w:qFormat/>
    <w:uiPriority w:val="99"/>
    <w:rPr>
      <w:color w:val="0000FF"/>
      <w:u w:val="single"/>
    </w:rPr>
  </w:style>
  <w:style w:type="character" w:customStyle="1" w:styleId="14">
    <w:name w:val="标题 1 Char"/>
    <w:basedOn w:val="10"/>
    <w:link w:val="2"/>
    <w:qFormat/>
    <w:uiPriority w:val="9"/>
    <w:rPr>
      <w:rFonts w:eastAsia="黑体"/>
      <w:bCs/>
      <w:kern w:val="44"/>
      <w:sz w:val="32"/>
      <w:szCs w:val="44"/>
    </w:rPr>
  </w:style>
  <w:style w:type="character" w:customStyle="1" w:styleId="15">
    <w:name w:val="标题 2 Char"/>
    <w:basedOn w:val="10"/>
    <w:link w:val="3"/>
    <w:qFormat/>
    <w:uiPriority w:val="9"/>
    <w:rPr>
      <w:rFonts w:eastAsia="楷体" w:asciiTheme="majorHAnsi" w:hAnsiTheme="majorHAnsi" w:cstheme="majorBidi"/>
      <w:b/>
      <w:bCs/>
      <w:sz w:val="32"/>
      <w:szCs w:val="32"/>
    </w:rPr>
  </w:style>
  <w:style w:type="character" w:customStyle="1" w:styleId="16">
    <w:name w:val="标题 3 Char"/>
    <w:basedOn w:val="10"/>
    <w:link w:val="4"/>
    <w:qFormat/>
    <w:uiPriority w:val="9"/>
    <w:rPr>
      <w:rFonts w:ascii="楷体" w:eastAsia="楷体"/>
      <w:bCs/>
      <w:sz w:val="32"/>
      <w:szCs w:val="32"/>
    </w:rPr>
  </w:style>
  <w:style w:type="character" w:customStyle="1" w:styleId="17">
    <w:name w:val="正文文本缩进 Char"/>
    <w:basedOn w:val="10"/>
    <w:link w:val="5"/>
    <w:qFormat/>
    <w:uiPriority w:val="0"/>
    <w:rPr>
      <w:rFonts w:ascii="仿宋_GB2312" w:hAnsi="宋体" w:eastAsia="仿宋_GB2312" w:cs="Times New Roman"/>
      <w:kern w:val="0"/>
      <w:sz w:val="30"/>
      <w:szCs w:val="24"/>
      <w:lang w:val="zh-CN" w:eastAsia="zh-CN"/>
    </w:rPr>
  </w:style>
  <w:style w:type="character" w:customStyle="1" w:styleId="18">
    <w:name w:val="页眉 Char"/>
    <w:basedOn w:val="10"/>
    <w:link w:val="8"/>
    <w:qFormat/>
    <w:uiPriority w:val="99"/>
    <w:rPr>
      <w:rFonts w:ascii="Calibri" w:hAnsi="Calibri" w:eastAsia="宋体" w:cs="Times New Roman"/>
      <w:sz w:val="18"/>
      <w:szCs w:val="18"/>
    </w:rPr>
  </w:style>
  <w:style w:type="character" w:customStyle="1" w:styleId="19">
    <w:name w:val="页脚 Char"/>
    <w:basedOn w:val="10"/>
    <w:link w:val="7"/>
    <w:qFormat/>
    <w:uiPriority w:val="99"/>
    <w:rPr>
      <w:rFonts w:ascii="Calibri" w:hAnsi="Calibri" w:eastAsia="宋体" w:cs="Times New Roman"/>
      <w:sz w:val="18"/>
      <w:szCs w:val="18"/>
    </w:rPr>
  </w:style>
  <w:style w:type="character" w:customStyle="1" w:styleId="20">
    <w:name w:val="批注框文本 Char"/>
    <w:basedOn w:val="10"/>
    <w:link w:val="6"/>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298</Words>
  <Characters>1702</Characters>
  <Lines>14</Lines>
  <Paragraphs>3</Paragraphs>
  <TotalTime>3</TotalTime>
  <ScaleCrop>false</ScaleCrop>
  <LinksUpToDate>false</LinksUpToDate>
  <CharactersWithSpaces>1997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2016-09-26T07:30:00Z</dcterms:created>
  <dc:creator>薛建龙</dc:creator>
  <cp:lastModifiedBy>Administrator</cp:lastModifiedBy>
  <cp:lastPrinted>2017-04-20T07:13:00Z</cp:lastPrinted>
  <dcterms:modified xsi:type="dcterms:W3CDTF">2018-06-24T11:56:21Z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